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095" w:rsidRDefault="00AC2095" w:rsidP="00AC2095">
      <w:pPr>
        <w:pStyle w:val="Heading1"/>
        <w:jc w:val="center"/>
        <w:rPr>
          <w:rFonts w:ascii="Arial" w:eastAsia="Times New Roman" w:hAnsi="Arial" w:cs="Arial"/>
          <w:color w:val="333333"/>
          <w:sz w:val="24"/>
          <w:szCs w:val="24"/>
        </w:rPr>
      </w:pPr>
    </w:p>
    <w:p w:rsidR="00AC2095" w:rsidRDefault="00AC2095" w:rsidP="00AC2095">
      <w:pPr>
        <w:pStyle w:val="Heading1"/>
        <w:jc w:val="center"/>
        <w:rPr>
          <w:rFonts w:ascii="Arial" w:eastAsia="Times New Roman" w:hAnsi="Arial" w:cs="Arial"/>
          <w:color w:val="333333"/>
          <w:sz w:val="24"/>
          <w:szCs w:val="24"/>
        </w:rPr>
      </w:pPr>
    </w:p>
    <w:p w:rsidR="00AC2095" w:rsidRDefault="00AC2095" w:rsidP="00AC2095">
      <w:pPr>
        <w:pStyle w:val="Heading1"/>
        <w:jc w:val="center"/>
        <w:rPr>
          <w:rFonts w:ascii="Arial" w:eastAsia="Times New Roman" w:hAnsi="Arial" w:cs="Arial"/>
          <w:color w:val="333333"/>
          <w:sz w:val="24"/>
          <w:szCs w:val="24"/>
        </w:rPr>
      </w:pPr>
      <w:r>
        <w:rPr>
          <w:rFonts w:ascii="Arial" w:eastAsia="Times New Roman" w:hAnsi="Arial" w:cs="Arial"/>
          <w:color w:val="333333"/>
          <w:sz w:val="24"/>
          <w:szCs w:val="24"/>
        </w:rPr>
        <w:t xml:space="preserve">KIA STINGER RECEIVES FIRST-EVER J.D. POWER ENGINEERING AWARD FOR HIGHEST RATED ALL-NEW VEHICLE </w:t>
      </w:r>
    </w:p>
    <w:p w:rsidR="00AC2095" w:rsidRDefault="00AC2095" w:rsidP="00AC2095">
      <w:pPr>
        <w:pStyle w:val="NormalWeb"/>
        <w:jc w:val="center"/>
        <w:rPr>
          <w:rFonts w:ascii="Arial" w:hAnsi="Arial" w:cs="Arial"/>
          <w:color w:val="333333"/>
          <w:sz w:val="20"/>
          <w:szCs w:val="20"/>
        </w:rPr>
      </w:pPr>
      <w:r>
        <w:rPr>
          <w:rStyle w:val="Emphasis"/>
          <w:rFonts w:ascii="Arial" w:hAnsi="Arial" w:cs="Arial"/>
          <w:b/>
          <w:bCs/>
          <w:color w:val="333333"/>
          <w:sz w:val="20"/>
          <w:szCs w:val="20"/>
        </w:rPr>
        <w:t>Award Focused on Excellence in Automotive Engineering Bestowed on the Highest Performing Vehicle in Kia’s History</w:t>
      </w:r>
    </w:p>
    <w:p w:rsidR="00AC2095" w:rsidRDefault="00AC2095" w:rsidP="00AC2095">
      <w:pPr>
        <w:pStyle w:val="NormalWeb"/>
        <w:rPr>
          <w:rFonts w:ascii="Arial" w:hAnsi="Arial" w:cs="Arial"/>
          <w:color w:val="333333"/>
          <w:sz w:val="20"/>
          <w:szCs w:val="20"/>
        </w:rPr>
      </w:pPr>
      <w:r>
        <w:rPr>
          <w:rStyle w:val="Strong"/>
          <w:rFonts w:ascii="Arial" w:hAnsi="Arial" w:cs="Arial"/>
          <w:color w:val="333333"/>
          <w:sz w:val="20"/>
          <w:szCs w:val="20"/>
        </w:rPr>
        <w:t>IRVINE, Calif., April 15, 2019 -- </w:t>
      </w:r>
      <w:r>
        <w:rPr>
          <w:rFonts w:ascii="Arial" w:hAnsi="Arial" w:cs="Arial"/>
          <w:color w:val="333333"/>
          <w:sz w:val="20"/>
          <w:szCs w:val="20"/>
        </w:rPr>
        <w:t xml:space="preserve">After ushering in a dynamic new era for Kia Motors, the 2018 Stinger </w:t>
      </w:r>
      <w:proofErr w:type="spellStart"/>
      <w:r>
        <w:rPr>
          <w:rFonts w:ascii="Arial" w:hAnsi="Arial" w:cs="Arial"/>
          <w:color w:val="333333"/>
          <w:sz w:val="20"/>
          <w:szCs w:val="20"/>
        </w:rPr>
        <w:t>sportback</w:t>
      </w:r>
      <w:proofErr w:type="spellEnd"/>
      <w:r>
        <w:rPr>
          <w:rFonts w:ascii="Arial" w:hAnsi="Arial" w:cs="Arial"/>
          <w:color w:val="333333"/>
          <w:sz w:val="20"/>
          <w:szCs w:val="20"/>
        </w:rPr>
        <w:t xml:space="preserve"> has been awarded the first-ever J.D. Power Engineering Award for Highest-Rated All-New Vehicle. Based on combined consumer evaluations included in the J.D. Power Initial Quality </w:t>
      </w:r>
      <w:r>
        <w:rPr>
          <w:rFonts w:ascii="Arial" w:hAnsi="Arial" w:cs="Arial"/>
          <w:color w:val="999999"/>
          <w:sz w:val="20"/>
          <w:szCs w:val="20"/>
          <w:vertAlign w:val="superscript"/>
        </w:rPr>
        <w:t>SM</w:t>
      </w:r>
      <w:r>
        <w:rPr>
          <w:rFonts w:ascii="Arial" w:hAnsi="Arial" w:cs="Arial"/>
          <w:color w:val="333333"/>
          <w:sz w:val="20"/>
          <w:szCs w:val="20"/>
        </w:rPr>
        <w:t xml:space="preserve"> and APEAL</w:t>
      </w:r>
      <w:r>
        <w:rPr>
          <w:rFonts w:ascii="Arial" w:hAnsi="Arial" w:cs="Arial"/>
          <w:color w:val="999999"/>
          <w:sz w:val="20"/>
          <w:szCs w:val="20"/>
          <w:vertAlign w:val="superscript"/>
        </w:rPr>
        <w:t>SM</w:t>
      </w:r>
      <w:r>
        <w:rPr>
          <w:rFonts w:ascii="Arial" w:hAnsi="Arial" w:cs="Arial"/>
          <w:color w:val="333333"/>
          <w:sz w:val="20"/>
          <w:szCs w:val="20"/>
        </w:rPr>
        <w:t xml:space="preserve"> Studies, Kia is the first OEM to be recognized by J.D. Power for delivering the highest-rated new entry into the market for a model year.</w:t>
      </w:r>
    </w:p>
    <w:p w:rsidR="00AC2095" w:rsidRDefault="00AC2095" w:rsidP="00AC2095">
      <w:pPr>
        <w:pStyle w:val="NormalWeb"/>
        <w:rPr>
          <w:rFonts w:ascii="Arial" w:hAnsi="Arial" w:cs="Arial"/>
          <w:color w:val="333333"/>
          <w:sz w:val="20"/>
          <w:szCs w:val="20"/>
        </w:rPr>
      </w:pPr>
      <w:r>
        <w:rPr>
          <w:rFonts w:ascii="Arial" w:hAnsi="Arial" w:cs="Arial"/>
          <w:color w:val="333333"/>
          <w:sz w:val="20"/>
          <w:szCs w:val="20"/>
        </w:rPr>
        <w:t>“The Stinger is the result of years of hard work and dedication from the industry’s top designers and engineers. We turned what was once considered a dream car into a startling and enthralling new reality,” said Michael Cole, chief operating officer &amp; EVP, Kia Motors America. “Being the first auto manufacturer to receive this prestigious award from J.D. Power, an organization known for excellence in research, is a true testament to Kia’s ‘Give It Everything’ philosophy.”</w:t>
      </w:r>
    </w:p>
    <w:p w:rsidR="00AC2095" w:rsidRDefault="00AC2095" w:rsidP="00AC2095">
      <w:pPr>
        <w:pStyle w:val="NormalWeb"/>
        <w:rPr>
          <w:rFonts w:ascii="Arial" w:hAnsi="Arial" w:cs="Arial"/>
          <w:color w:val="333333"/>
          <w:sz w:val="20"/>
          <w:szCs w:val="20"/>
        </w:rPr>
      </w:pPr>
      <w:r>
        <w:rPr>
          <w:rFonts w:ascii="Arial" w:hAnsi="Arial" w:cs="Arial"/>
          <w:color w:val="333333"/>
          <w:sz w:val="20"/>
          <w:szCs w:val="20"/>
        </w:rPr>
        <w:t>The J.D. Power Engineering Award for Highest-Rated All-New Vehicle combines the results of two well-known J.D. Power studies, the Initial Quality Study (IQS) which measures new-vehicle quality by the number of problems experienced per 100 vehicles (PP100) as reported by consumers during the first 90 days of ownership; and the J.D. Power Automotive Performance, Execution and Layout (APEAL) award, which measures new-vehicle owners’ overall satisfaction with their vehicles within the first 90 days of ownership. Categories evaluated include exterior, interior, storage, audio, seats, heating and ventilation, driving dynamics, powertrain, visibility, and fuel economy.  </w:t>
      </w:r>
    </w:p>
    <w:p w:rsidR="00AC2095" w:rsidRDefault="00AC2095" w:rsidP="00AC2095">
      <w:pPr>
        <w:pStyle w:val="NormalWeb"/>
        <w:rPr>
          <w:rFonts w:ascii="Arial" w:hAnsi="Arial" w:cs="Arial"/>
          <w:color w:val="333333"/>
          <w:sz w:val="20"/>
          <w:szCs w:val="20"/>
        </w:rPr>
      </w:pPr>
      <w:r>
        <w:rPr>
          <w:rFonts w:ascii="Arial" w:hAnsi="Arial" w:cs="Arial"/>
          <w:color w:val="333333"/>
          <w:sz w:val="20"/>
          <w:szCs w:val="20"/>
        </w:rPr>
        <w:t>“This is the first time J.D. Power has analyzed customer data in order to identify a remarkable achievement by a vehicle development team,” said Doug Betts, senior vice president of global automotive at J.D. Power. “This is feedback on both the quality and the performance of the vehicle taken straight from the owners of the vehicle. What we are seeing is a team of designers, R&amp;D engineers and a manufacturing team that are working very effectively together to launch something quite exceptional.”</w:t>
      </w:r>
    </w:p>
    <w:p w:rsidR="00AC2095" w:rsidRDefault="00AC2095" w:rsidP="00AC2095">
      <w:pPr>
        <w:bidi w:val="0"/>
        <w:rPr>
          <w:rFonts w:ascii="Arial" w:hAnsi="Arial" w:cs="Arial"/>
        </w:rPr>
      </w:pPr>
    </w:p>
    <w:p w:rsidR="00C7205B" w:rsidRDefault="00C7205B" w:rsidP="00C7205B">
      <w:pPr>
        <w:bidi w:val="0"/>
        <w:rPr>
          <w:rFonts w:ascii="Arial" w:hAnsi="Arial" w:cs="Arial"/>
        </w:rPr>
      </w:pPr>
    </w:p>
    <w:p w:rsidR="00C7205B" w:rsidRDefault="00C7205B" w:rsidP="00C7205B">
      <w:pPr>
        <w:bidi w:val="0"/>
        <w:rPr>
          <w:rFonts w:ascii="Arial" w:hAnsi="Arial" w:cs="Arial"/>
        </w:rPr>
      </w:pPr>
    </w:p>
    <w:tbl>
      <w:tblPr>
        <w:tblW w:w="5000" w:type="pct"/>
        <w:tblCellMar>
          <w:left w:w="0" w:type="dxa"/>
          <w:right w:w="0" w:type="dxa"/>
        </w:tblCellMar>
        <w:tblLook w:val="0000" w:firstRow="0" w:lastRow="0" w:firstColumn="0" w:lastColumn="0" w:noHBand="0" w:noVBand="0"/>
      </w:tblPr>
      <w:tblGrid>
        <w:gridCol w:w="5233"/>
        <w:gridCol w:w="5234"/>
      </w:tblGrid>
      <w:tr w:rsidR="007852B6" w:rsidRPr="00E239C0" w:rsidTr="001E17C8">
        <w:tc>
          <w:tcPr>
            <w:tcW w:w="5000" w:type="pct"/>
            <w:gridSpan w:val="2"/>
            <w:tcMar>
              <w:top w:w="0" w:type="dxa"/>
              <w:left w:w="108" w:type="dxa"/>
              <w:bottom w:w="0" w:type="dxa"/>
              <w:right w:w="108" w:type="dxa"/>
            </w:tcMar>
          </w:tcPr>
          <w:p w:rsidR="007852B6" w:rsidRPr="00283F94" w:rsidRDefault="007852B6" w:rsidP="001E17C8">
            <w:pPr>
              <w:bidi w:val="0"/>
              <w:spacing w:after="0" w:line="240" w:lineRule="auto"/>
              <w:rPr>
                <w:rFonts w:ascii="Arial" w:hAnsi="Arial" w:cs="Arial"/>
                <w:b/>
                <w:bCs/>
                <w:color w:val="C00000"/>
                <w:sz w:val="21"/>
                <w:szCs w:val="21"/>
                <w:bdr w:val="nil"/>
              </w:rPr>
            </w:pPr>
            <w:r w:rsidRPr="00283F94">
              <w:rPr>
                <w:rFonts w:ascii="Arial" w:hAnsi="Arial" w:cs="Arial"/>
                <w:b/>
                <w:bCs/>
                <w:color w:val="C00000"/>
                <w:sz w:val="21"/>
                <w:szCs w:val="21"/>
                <w:bdr w:val="nil"/>
              </w:rPr>
              <w:t xml:space="preserve">For information </w:t>
            </w:r>
          </w:p>
          <w:p w:rsidR="007852B6" w:rsidRPr="00283F94" w:rsidRDefault="007852B6" w:rsidP="001E17C8">
            <w:pPr>
              <w:bidi w:val="0"/>
              <w:spacing w:after="0" w:line="240" w:lineRule="auto"/>
              <w:rPr>
                <w:rFonts w:ascii="Arial" w:hAnsi="Arial" w:cs="Arial"/>
                <w:b/>
                <w:bCs/>
                <w:sz w:val="21"/>
                <w:szCs w:val="21"/>
              </w:rPr>
            </w:pPr>
          </w:p>
        </w:tc>
      </w:tr>
      <w:tr w:rsidR="007852B6" w:rsidRPr="00E239C0" w:rsidTr="001E17C8">
        <w:tc>
          <w:tcPr>
            <w:tcW w:w="2500" w:type="pct"/>
            <w:tcMar>
              <w:top w:w="0" w:type="dxa"/>
              <w:left w:w="108" w:type="dxa"/>
              <w:bottom w:w="0" w:type="dxa"/>
              <w:right w:w="108" w:type="dxa"/>
            </w:tcMar>
          </w:tcPr>
          <w:p w:rsidR="007852B6" w:rsidRPr="00283F94" w:rsidRDefault="007852B6" w:rsidP="001E17C8">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 xml:space="preserve">Emad </w:t>
            </w:r>
            <w:proofErr w:type="spellStart"/>
            <w:r w:rsidRPr="00283F94">
              <w:rPr>
                <w:rFonts w:ascii="Arial" w:eastAsia="Tahoma" w:hAnsi="Arial" w:cs="Arial"/>
                <w:b/>
                <w:bCs/>
                <w:sz w:val="21"/>
                <w:szCs w:val="21"/>
                <w:bdr w:val="nil"/>
              </w:rPr>
              <w:t>Issa</w:t>
            </w:r>
            <w:proofErr w:type="spellEnd"/>
            <w:r w:rsidRPr="00283F94">
              <w:rPr>
                <w:rFonts w:ascii="Arial" w:eastAsia="Tahoma" w:hAnsi="Arial" w:cs="Arial"/>
                <w:b/>
                <w:bCs/>
                <w:sz w:val="21"/>
                <w:szCs w:val="21"/>
                <w:bdr w:val="nil"/>
                <w:rtl/>
              </w:rPr>
              <w:t xml:space="preserve"> </w:t>
            </w:r>
          </w:p>
          <w:p w:rsidR="007852B6" w:rsidRPr="00283F94" w:rsidRDefault="007852B6" w:rsidP="001E17C8">
            <w:pPr>
              <w:bidi w:val="0"/>
              <w:spacing w:after="0" w:line="240" w:lineRule="auto"/>
              <w:rPr>
                <w:rFonts w:ascii="Arial" w:hAnsi="Arial" w:cs="Arial"/>
                <w:sz w:val="21"/>
                <w:szCs w:val="21"/>
              </w:rPr>
            </w:pPr>
            <w:r w:rsidRPr="00283F94">
              <w:rPr>
                <w:rFonts w:ascii="Arial" w:eastAsia="Tahoma" w:hAnsi="Arial" w:cs="Arial"/>
                <w:sz w:val="21"/>
                <w:szCs w:val="21"/>
                <w:bdr w:val="nil"/>
              </w:rPr>
              <w:t>Account Manager</w:t>
            </w:r>
            <w:r w:rsidRPr="00283F94">
              <w:rPr>
                <w:rFonts w:ascii="Arial" w:eastAsia="Tahoma" w:hAnsi="Arial" w:cs="Arial"/>
                <w:sz w:val="21"/>
                <w:szCs w:val="21"/>
                <w:bdr w:val="nil"/>
                <w:rtl/>
              </w:rPr>
              <w:t xml:space="preserve"> </w:t>
            </w:r>
          </w:p>
          <w:p w:rsidR="007852B6" w:rsidRPr="00283F94" w:rsidRDefault="007852B6" w:rsidP="001E17C8">
            <w:pPr>
              <w:bidi w:val="0"/>
              <w:spacing w:after="0" w:line="240" w:lineRule="auto"/>
              <w:rPr>
                <w:rFonts w:ascii="Arial" w:hAnsi="Arial" w:cs="Arial"/>
                <w:sz w:val="21"/>
                <w:szCs w:val="21"/>
              </w:rPr>
            </w:pPr>
            <w:r>
              <w:rPr>
                <w:rFonts w:ascii="Arial" w:eastAsia="Tahoma" w:hAnsi="Arial" w:cs="Arial"/>
                <w:sz w:val="21"/>
                <w:szCs w:val="21"/>
                <w:bdr w:val="nil"/>
              </w:rPr>
              <w:t>Phenomenal</w:t>
            </w:r>
            <w:r w:rsidRPr="00283F94">
              <w:rPr>
                <w:rFonts w:ascii="Arial" w:eastAsia="Tahoma" w:hAnsi="Arial" w:cs="Arial"/>
                <w:sz w:val="21"/>
                <w:szCs w:val="21"/>
                <w:bdr w:val="nil"/>
              </w:rPr>
              <w:t xml:space="preserve"> Public Relations</w:t>
            </w:r>
            <w:r w:rsidRPr="00283F94">
              <w:rPr>
                <w:rFonts w:ascii="Arial" w:eastAsia="Tahoma" w:hAnsi="Arial" w:cs="Arial"/>
                <w:sz w:val="21"/>
                <w:szCs w:val="21"/>
                <w:bdr w:val="nil"/>
                <w:rtl/>
              </w:rPr>
              <w:t xml:space="preserve"> </w:t>
            </w:r>
          </w:p>
          <w:p w:rsidR="007852B6" w:rsidRPr="00283F94" w:rsidRDefault="007852B6" w:rsidP="001E17C8">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 xml:space="preserve">: </w:t>
            </w:r>
            <w:r>
              <w:rPr>
                <w:rFonts w:ascii="Arial" w:eastAsia="Tahoma" w:hAnsi="Arial" w:cs="Arial"/>
                <w:sz w:val="21"/>
                <w:szCs w:val="21"/>
              </w:rPr>
              <w:t>+</w:t>
            </w:r>
            <w:r w:rsidRPr="00283F94">
              <w:rPr>
                <w:rFonts w:ascii="Arial" w:eastAsia="Tahoma" w:hAnsi="Arial" w:cs="Arial"/>
                <w:sz w:val="21"/>
                <w:szCs w:val="21"/>
                <w:bdr w:val="nil"/>
                <w:rtl/>
              </w:rPr>
              <w:t>966507014323</w:t>
            </w:r>
          </w:p>
          <w:p w:rsidR="007852B6" w:rsidRPr="00283F94" w:rsidRDefault="007852B6" w:rsidP="001E17C8">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emad@prphenomenal.co</w:t>
            </w:r>
          </w:p>
        </w:tc>
        <w:tc>
          <w:tcPr>
            <w:tcW w:w="2500" w:type="pct"/>
            <w:tcMar>
              <w:top w:w="0" w:type="dxa"/>
              <w:left w:w="108" w:type="dxa"/>
              <w:bottom w:w="0" w:type="dxa"/>
              <w:right w:w="108" w:type="dxa"/>
            </w:tcMar>
          </w:tcPr>
          <w:p w:rsidR="007852B6" w:rsidRPr="00283F94" w:rsidRDefault="007852B6" w:rsidP="001E17C8">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Abdullah Omar</w:t>
            </w:r>
            <w:r w:rsidRPr="00283F94">
              <w:rPr>
                <w:rFonts w:ascii="Arial" w:eastAsia="Tahoma" w:hAnsi="Arial" w:cs="Arial"/>
                <w:b/>
                <w:bCs/>
                <w:sz w:val="21"/>
                <w:szCs w:val="21"/>
                <w:bdr w:val="nil"/>
                <w:rtl/>
              </w:rPr>
              <w:t xml:space="preserve"> </w:t>
            </w:r>
          </w:p>
          <w:p w:rsidR="007852B6" w:rsidRPr="00283F94" w:rsidRDefault="007852B6" w:rsidP="001E17C8">
            <w:pPr>
              <w:bidi w:val="0"/>
              <w:spacing w:after="0" w:line="240" w:lineRule="auto"/>
              <w:rPr>
                <w:rFonts w:ascii="Arial" w:hAnsi="Arial" w:cs="Arial"/>
                <w:sz w:val="21"/>
                <w:szCs w:val="21"/>
              </w:rPr>
            </w:pPr>
            <w:r w:rsidRPr="00283F94">
              <w:rPr>
                <w:rFonts w:ascii="Arial" w:eastAsia="Tahoma" w:hAnsi="Arial" w:cs="Arial"/>
                <w:sz w:val="21"/>
                <w:szCs w:val="21"/>
                <w:bdr w:val="nil"/>
              </w:rPr>
              <w:t xml:space="preserve">Public Relations </w:t>
            </w:r>
            <w:r>
              <w:rPr>
                <w:rFonts w:ascii="Arial" w:eastAsia="Tahoma" w:hAnsi="Arial" w:cs="Arial"/>
                <w:sz w:val="21"/>
                <w:szCs w:val="21"/>
                <w:bdr w:val="nil"/>
              </w:rPr>
              <w:t>Manager</w:t>
            </w:r>
            <w:r w:rsidRPr="00283F94">
              <w:rPr>
                <w:rFonts w:ascii="Arial" w:eastAsia="Tahoma" w:hAnsi="Arial" w:cs="Arial"/>
                <w:sz w:val="21"/>
                <w:szCs w:val="21"/>
                <w:bdr w:val="nil"/>
                <w:rtl/>
              </w:rPr>
              <w:t xml:space="preserve"> </w:t>
            </w:r>
          </w:p>
          <w:p w:rsidR="007852B6" w:rsidRPr="00283F94" w:rsidRDefault="007852B6" w:rsidP="001E17C8">
            <w:pPr>
              <w:tabs>
                <w:tab w:val="left" w:pos="2856"/>
              </w:tabs>
              <w:bidi w:val="0"/>
              <w:spacing w:after="0" w:line="240" w:lineRule="auto"/>
              <w:rPr>
                <w:rFonts w:ascii="Arial" w:hAnsi="Arial" w:cs="Arial"/>
                <w:sz w:val="21"/>
                <w:szCs w:val="21"/>
              </w:rPr>
            </w:pPr>
            <w:r w:rsidRPr="00283F94">
              <w:rPr>
                <w:rFonts w:ascii="Arial" w:eastAsia="Tahoma" w:hAnsi="Arial" w:cs="Arial"/>
                <w:sz w:val="21"/>
                <w:szCs w:val="21"/>
                <w:bdr w:val="nil"/>
              </w:rPr>
              <w:t>Aljabr Automotive Co</w:t>
            </w:r>
            <w:r w:rsidRPr="00283F94">
              <w:rPr>
                <w:rFonts w:ascii="Arial" w:eastAsia="Tahoma" w:hAnsi="Arial" w:cs="Arial"/>
                <w:sz w:val="21"/>
                <w:szCs w:val="21"/>
                <w:bdr w:val="nil"/>
                <w:rtl/>
              </w:rPr>
              <w:t>.</w:t>
            </w:r>
            <w:r>
              <w:rPr>
                <w:rFonts w:ascii="Arial" w:eastAsia="Tahoma" w:hAnsi="Arial" w:cs="Arial"/>
                <w:sz w:val="21"/>
                <w:szCs w:val="21"/>
                <w:bdr w:val="nil"/>
                <w:rtl/>
              </w:rPr>
              <w:tab/>
            </w:r>
          </w:p>
          <w:p w:rsidR="007852B6" w:rsidRPr="00283F94" w:rsidRDefault="007852B6" w:rsidP="001E17C8">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w:t>
            </w:r>
            <w:r>
              <w:rPr>
                <w:rFonts w:ascii="Arial" w:eastAsia="Tahoma" w:hAnsi="Arial" w:cs="Arial"/>
                <w:sz w:val="21"/>
                <w:szCs w:val="21"/>
              </w:rPr>
              <w:t xml:space="preserve"> +</w:t>
            </w:r>
            <w:r w:rsidRPr="00283F94">
              <w:rPr>
                <w:rFonts w:ascii="Arial" w:eastAsia="Tahoma" w:hAnsi="Arial" w:cs="Arial"/>
                <w:sz w:val="21"/>
                <w:szCs w:val="21"/>
                <w:bdr w:val="nil"/>
                <w:rtl/>
              </w:rPr>
              <w:t>966599998531</w:t>
            </w:r>
          </w:p>
          <w:p w:rsidR="007852B6" w:rsidRPr="00283F94" w:rsidRDefault="007852B6" w:rsidP="001E17C8">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aomar@kia-sa.com</w:t>
            </w:r>
          </w:p>
        </w:tc>
      </w:tr>
    </w:tbl>
    <w:p w:rsidR="00C7205B" w:rsidRDefault="00C7205B" w:rsidP="00C7205B">
      <w:pPr>
        <w:bidi w:val="0"/>
        <w:rPr>
          <w:rFonts w:ascii="Arial" w:hAnsi="Arial" w:cs="Arial"/>
        </w:rPr>
      </w:pPr>
      <w:bookmarkStart w:id="0" w:name="_GoBack"/>
      <w:bookmarkEnd w:id="0"/>
    </w:p>
    <w:p w:rsidR="00C7205B" w:rsidRDefault="00C7205B" w:rsidP="00C7205B">
      <w:pPr>
        <w:bidi w:val="0"/>
        <w:rPr>
          <w:rFonts w:ascii="Arial" w:hAnsi="Arial" w:cs="Arial"/>
        </w:rPr>
      </w:pPr>
    </w:p>
    <w:p w:rsidR="00C7205B" w:rsidRDefault="00C7205B" w:rsidP="00C7205B">
      <w:pPr>
        <w:bidi w:val="0"/>
        <w:rPr>
          <w:rFonts w:ascii="Arial" w:hAnsi="Arial" w:cs="Arial"/>
        </w:rPr>
      </w:pPr>
    </w:p>
    <w:p w:rsidR="00C7205B" w:rsidRDefault="00C7205B" w:rsidP="00C7205B">
      <w:pPr>
        <w:bidi w:val="0"/>
        <w:rPr>
          <w:rFonts w:ascii="Arial" w:hAnsi="Arial" w:cs="Arial"/>
        </w:rPr>
      </w:pPr>
    </w:p>
    <w:p w:rsidR="00C7205B" w:rsidRDefault="00C7205B" w:rsidP="00C7205B">
      <w:pPr>
        <w:bidi w:val="0"/>
        <w:rPr>
          <w:rFonts w:ascii="Arial" w:hAnsi="Arial" w:cs="Arial"/>
        </w:rPr>
      </w:pPr>
    </w:p>
    <w:p w:rsidR="00C7205B" w:rsidRDefault="00C7205B" w:rsidP="00C7205B">
      <w:pPr>
        <w:bidi w:val="0"/>
        <w:rPr>
          <w:rFonts w:ascii="Arial" w:hAnsi="Arial" w:cs="Arial"/>
        </w:rPr>
      </w:pPr>
    </w:p>
    <w:p w:rsidR="00C7205B" w:rsidRPr="00283F94" w:rsidRDefault="00C7205B" w:rsidP="00C7205B">
      <w:pPr>
        <w:bidi w:val="0"/>
        <w:rPr>
          <w:rFonts w:ascii="Arial" w:hAnsi="Arial" w:cs="Arial"/>
          <w:rtl/>
        </w:rPr>
      </w:pPr>
    </w:p>
    <w:sectPr w:rsidR="00C7205B" w:rsidRPr="00283F94"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AB5" w:rsidRDefault="00707AB5" w:rsidP="002D10B8">
      <w:pPr>
        <w:spacing w:after="0" w:line="240" w:lineRule="auto"/>
      </w:pPr>
      <w:r>
        <w:separator/>
      </w:r>
    </w:p>
  </w:endnote>
  <w:endnote w:type="continuationSeparator" w:id="0">
    <w:p w:rsidR="00707AB5" w:rsidRDefault="00707AB5"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AB5" w:rsidRDefault="00707AB5" w:rsidP="002D10B8">
      <w:pPr>
        <w:spacing w:after="0" w:line="240" w:lineRule="auto"/>
      </w:pPr>
      <w:r>
        <w:separator/>
      </w:r>
    </w:p>
  </w:footnote>
  <w:footnote w:type="continuationSeparator" w:id="0">
    <w:p w:rsidR="00707AB5" w:rsidRDefault="00707AB5"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_x0000_s1027"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rDQIAAPs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30B1"/>
    <w:rsid w:val="006A6EB3"/>
    <w:rsid w:val="006F6DEC"/>
    <w:rsid w:val="007027D3"/>
    <w:rsid w:val="00705E7E"/>
    <w:rsid w:val="0070713B"/>
    <w:rsid w:val="00707AB5"/>
    <w:rsid w:val="00735EDB"/>
    <w:rsid w:val="00736058"/>
    <w:rsid w:val="00754D51"/>
    <w:rsid w:val="00756315"/>
    <w:rsid w:val="007852B6"/>
    <w:rsid w:val="00790A07"/>
    <w:rsid w:val="007954D2"/>
    <w:rsid w:val="00796F8B"/>
    <w:rsid w:val="007A0734"/>
    <w:rsid w:val="007A1922"/>
    <w:rsid w:val="007A25BA"/>
    <w:rsid w:val="007D08B6"/>
    <w:rsid w:val="007E4C4D"/>
    <w:rsid w:val="007E763D"/>
    <w:rsid w:val="0080079C"/>
    <w:rsid w:val="00817BF6"/>
    <w:rsid w:val="00835D22"/>
    <w:rsid w:val="00841658"/>
    <w:rsid w:val="00860A6D"/>
    <w:rsid w:val="00861789"/>
    <w:rsid w:val="008647DC"/>
    <w:rsid w:val="008A75AB"/>
    <w:rsid w:val="008C3136"/>
    <w:rsid w:val="008D6AF3"/>
    <w:rsid w:val="008E376E"/>
    <w:rsid w:val="008E587C"/>
    <w:rsid w:val="008F7B6D"/>
    <w:rsid w:val="008F7F95"/>
    <w:rsid w:val="00900DD3"/>
    <w:rsid w:val="0090173F"/>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760"/>
    <w:rsid w:val="00C7205B"/>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9026C"/>
    <w:rsid w:val="00D90340"/>
    <w:rsid w:val="00D90E37"/>
    <w:rsid w:val="00D950B8"/>
    <w:rsid w:val="00DB3647"/>
    <w:rsid w:val="00DC15BC"/>
    <w:rsid w:val="00DC3C4C"/>
    <w:rsid w:val="00DD1D9B"/>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E64D-CC01-4BFC-9D57-8D331668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4</cp:revision>
  <cp:lastPrinted>2017-06-19T13:22:00Z</cp:lastPrinted>
  <dcterms:created xsi:type="dcterms:W3CDTF">2019-04-21T08:55:00Z</dcterms:created>
  <dcterms:modified xsi:type="dcterms:W3CDTF">2019-04-22T07:43:00Z</dcterms:modified>
</cp:coreProperties>
</file>